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0DD" w:rsidRPr="00F550DD" w:rsidRDefault="00F550DD" w:rsidP="0001703B">
      <w:pPr>
        <w:pStyle w:val="ListParagraph"/>
        <w:numPr>
          <w:ilvl w:val="0"/>
          <w:numId w:val="1"/>
        </w:numPr>
        <w:autoSpaceDE w:val="0"/>
        <w:autoSpaceDN w:val="0"/>
        <w:adjustRightInd w:val="0"/>
        <w:spacing w:after="0" w:line="240" w:lineRule="auto"/>
        <w:ind w:left="288"/>
        <w:jc w:val="both"/>
        <w:rPr>
          <w:rFonts w:ascii="Arial" w:hAnsi="Arial" w:cs="Arial"/>
          <w:color w:val="231F20"/>
          <w:sz w:val="24"/>
          <w:szCs w:val="24"/>
        </w:rPr>
      </w:pPr>
      <w:r w:rsidRPr="00F550DD">
        <w:rPr>
          <w:rFonts w:ascii="Arial" w:hAnsi="Arial" w:cs="Arial"/>
          <w:color w:val="231F20"/>
          <w:sz w:val="24"/>
          <w:szCs w:val="24"/>
        </w:rPr>
        <w:t xml:space="preserve">In </w:t>
      </w:r>
      <w:r w:rsidRPr="00F550DD">
        <w:rPr>
          <w:rFonts w:ascii="Arial" w:hAnsi="Arial" w:cs="Arial"/>
          <w:b/>
          <w:color w:val="231F20"/>
          <w:sz w:val="24"/>
          <w:szCs w:val="24"/>
        </w:rPr>
        <w:t>section 200</w:t>
      </w:r>
      <w:r w:rsidRPr="00F550DD">
        <w:rPr>
          <w:rFonts w:ascii="Arial" w:hAnsi="Arial" w:cs="Arial"/>
          <w:color w:val="231F20"/>
          <w:sz w:val="24"/>
          <w:szCs w:val="24"/>
        </w:rPr>
        <w:t xml:space="preserve"> of the Income-tax Act, in </w:t>
      </w:r>
      <w:r w:rsidRPr="00F550DD">
        <w:rPr>
          <w:rFonts w:ascii="Arial" w:hAnsi="Arial" w:cs="Arial"/>
          <w:b/>
          <w:color w:val="231F20"/>
          <w:sz w:val="24"/>
          <w:szCs w:val="24"/>
        </w:rPr>
        <w:t>sub-section (</w:t>
      </w:r>
      <w:r w:rsidRPr="00F550DD">
        <w:rPr>
          <w:rFonts w:ascii="Arial" w:hAnsi="Arial" w:cs="Arial"/>
          <w:b/>
          <w:i/>
          <w:iCs/>
          <w:color w:val="231F20"/>
          <w:sz w:val="24"/>
          <w:szCs w:val="24"/>
        </w:rPr>
        <w:t>3</w:t>
      </w:r>
      <w:r w:rsidRPr="00F550DD">
        <w:rPr>
          <w:rFonts w:ascii="Arial" w:hAnsi="Arial" w:cs="Arial"/>
          <w:b/>
          <w:color w:val="231F20"/>
          <w:sz w:val="24"/>
          <w:szCs w:val="24"/>
        </w:rPr>
        <w:t>)</w:t>
      </w:r>
      <w:r w:rsidRPr="00F550DD">
        <w:rPr>
          <w:rFonts w:ascii="Arial" w:hAnsi="Arial" w:cs="Arial"/>
          <w:color w:val="231F20"/>
          <w:sz w:val="24"/>
          <w:szCs w:val="24"/>
        </w:rPr>
        <w:t xml:space="preserve">, the following proviso shall be inserted with effect from the </w:t>
      </w:r>
      <w:r w:rsidRPr="00F550DD">
        <w:rPr>
          <w:rFonts w:ascii="Arial" w:hAnsi="Arial" w:cs="Arial"/>
          <w:b/>
          <w:color w:val="231F20"/>
          <w:sz w:val="24"/>
          <w:szCs w:val="24"/>
        </w:rPr>
        <w:t>1st day of October, 2014</w:t>
      </w:r>
      <w:r w:rsidRPr="00F550DD">
        <w:rPr>
          <w:rFonts w:ascii="Arial" w:hAnsi="Arial" w:cs="Arial"/>
          <w:color w:val="231F20"/>
          <w:sz w:val="24"/>
          <w:szCs w:val="24"/>
        </w:rPr>
        <w:t>, namely:—</w:t>
      </w:r>
    </w:p>
    <w:p w:rsidR="00F550DD" w:rsidRDefault="00F550DD" w:rsidP="0001703B">
      <w:pPr>
        <w:autoSpaceDE w:val="0"/>
        <w:autoSpaceDN w:val="0"/>
        <w:adjustRightInd w:val="0"/>
        <w:spacing w:after="0" w:line="240" w:lineRule="auto"/>
        <w:jc w:val="both"/>
        <w:rPr>
          <w:rFonts w:ascii="Arial" w:hAnsi="Arial" w:cs="Arial"/>
          <w:color w:val="231F20"/>
          <w:sz w:val="24"/>
          <w:szCs w:val="24"/>
        </w:rPr>
      </w:pPr>
    </w:p>
    <w:p w:rsidR="005015BD" w:rsidRDefault="00F550DD" w:rsidP="0001703B">
      <w:pPr>
        <w:autoSpaceDE w:val="0"/>
        <w:autoSpaceDN w:val="0"/>
        <w:adjustRightInd w:val="0"/>
        <w:spacing w:after="0" w:line="240" w:lineRule="auto"/>
        <w:jc w:val="both"/>
        <w:rPr>
          <w:rFonts w:ascii="Arial" w:hAnsi="Arial" w:cs="Arial"/>
          <w:color w:val="231F20"/>
          <w:sz w:val="24"/>
          <w:szCs w:val="24"/>
        </w:rPr>
      </w:pPr>
      <w:r w:rsidRPr="00F550DD">
        <w:rPr>
          <w:rFonts w:ascii="Arial" w:hAnsi="Arial" w:cs="Arial"/>
          <w:color w:val="231F20"/>
          <w:sz w:val="24"/>
          <w:szCs w:val="24"/>
        </w:rPr>
        <w:t xml:space="preserve">“Provided that the </w:t>
      </w:r>
      <w:r w:rsidRPr="00F550DD">
        <w:rPr>
          <w:rFonts w:ascii="Arial" w:hAnsi="Arial" w:cs="Arial"/>
          <w:color w:val="231F20"/>
          <w:sz w:val="24"/>
          <w:szCs w:val="24"/>
          <w:u w:val="single"/>
        </w:rPr>
        <w:t>person may also deliver</w:t>
      </w:r>
      <w:r w:rsidRPr="00F550DD">
        <w:rPr>
          <w:rFonts w:ascii="Arial" w:hAnsi="Arial" w:cs="Arial"/>
          <w:color w:val="231F20"/>
          <w:sz w:val="24"/>
          <w:szCs w:val="24"/>
        </w:rPr>
        <w:t xml:space="preserve"> to the prescribed authority </w:t>
      </w:r>
      <w:r w:rsidRPr="00F550DD">
        <w:rPr>
          <w:rFonts w:ascii="Arial" w:hAnsi="Arial" w:cs="Arial"/>
          <w:b/>
          <w:color w:val="231F20"/>
          <w:sz w:val="24"/>
          <w:szCs w:val="24"/>
        </w:rPr>
        <w:t>a correction statement</w:t>
      </w:r>
      <w:r w:rsidRPr="00F550DD">
        <w:rPr>
          <w:rFonts w:ascii="Arial" w:hAnsi="Arial" w:cs="Arial"/>
          <w:color w:val="231F20"/>
          <w:sz w:val="24"/>
          <w:szCs w:val="24"/>
        </w:rPr>
        <w:t xml:space="preserve"> for</w:t>
      </w:r>
      <w:r>
        <w:rPr>
          <w:rFonts w:ascii="Arial" w:hAnsi="Arial" w:cs="Arial"/>
          <w:color w:val="231F20"/>
          <w:sz w:val="24"/>
          <w:szCs w:val="24"/>
        </w:rPr>
        <w:t xml:space="preserve"> </w:t>
      </w:r>
      <w:r w:rsidRPr="00F550DD">
        <w:rPr>
          <w:rFonts w:ascii="Arial" w:hAnsi="Arial" w:cs="Arial"/>
          <w:color w:val="231F20"/>
          <w:sz w:val="24"/>
          <w:szCs w:val="24"/>
        </w:rPr>
        <w:t>rectification of any mistake or to add, delete or update the information furnished in the statement</w:t>
      </w:r>
      <w:r>
        <w:rPr>
          <w:rFonts w:ascii="Arial" w:hAnsi="Arial" w:cs="Arial"/>
          <w:color w:val="231F20"/>
          <w:sz w:val="24"/>
          <w:szCs w:val="24"/>
        </w:rPr>
        <w:t xml:space="preserve"> </w:t>
      </w:r>
      <w:r w:rsidRPr="00F550DD">
        <w:rPr>
          <w:rFonts w:ascii="Arial" w:hAnsi="Arial" w:cs="Arial"/>
          <w:color w:val="231F20"/>
          <w:sz w:val="24"/>
          <w:szCs w:val="24"/>
        </w:rPr>
        <w:t>delivered under this sub-section in such form and verified in such manner as may be specified by</w:t>
      </w:r>
      <w:r>
        <w:rPr>
          <w:rFonts w:ascii="Arial" w:hAnsi="Arial" w:cs="Arial"/>
          <w:color w:val="231F20"/>
          <w:sz w:val="24"/>
          <w:szCs w:val="24"/>
        </w:rPr>
        <w:t xml:space="preserve"> </w:t>
      </w:r>
      <w:r w:rsidRPr="00F550DD">
        <w:rPr>
          <w:rFonts w:ascii="Arial" w:hAnsi="Arial" w:cs="Arial"/>
          <w:color w:val="231F20"/>
          <w:sz w:val="24"/>
          <w:szCs w:val="24"/>
        </w:rPr>
        <w:t>the authority.</w:t>
      </w:r>
      <w:proofErr w:type="gramStart"/>
      <w:r w:rsidRPr="00F550DD">
        <w:rPr>
          <w:rFonts w:ascii="Arial" w:hAnsi="Arial" w:cs="Arial"/>
          <w:color w:val="231F20"/>
          <w:sz w:val="24"/>
          <w:szCs w:val="24"/>
        </w:rPr>
        <w:t>”.</w:t>
      </w:r>
      <w:proofErr w:type="gramEnd"/>
    </w:p>
    <w:p w:rsidR="00F550DD" w:rsidRPr="00F550DD" w:rsidRDefault="00F550DD" w:rsidP="0001703B">
      <w:pPr>
        <w:autoSpaceDE w:val="0"/>
        <w:autoSpaceDN w:val="0"/>
        <w:adjustRightInd w:val="0"/>
        <w:spacing w:after="0" w:line="240" w:lineRule="auto"/>
        <w:jc w:val="both"/>
        <w:rPr>
          <w:rFonts w:ascii="Arial" w:hAnsi="Arial" w:cs="Arial"/>
          <w:color w:val="231F20"/>
          <w:sz w:val="24"/>
          <w:szCs w:val="24"/>
        </w:rPr>
      </w:pPr>
    </w:p>
    <w:p w:rsidR="00F550DD" w:rsidRDefault="00F550DD" w:rsidP="0001703B">
      <w:pPr>
        <w:autoSpaceDE w:val="0"/>
        <w:autoSpaceDN w:val="0"/>
        <w:adjustRightInd w:val="0"/>
        <w:spacing w:after="0" w:line="240" w:lineRule="auto"/>
        <w:jc w:val="both"/>
        <w:rPr>
          <w:rFonts w:ascii="Arial" w:hAnsi="Arial" w:cs="Arial"/>
          <w:color w:val="231F20"/>
          <w:sz w:val="24"/>
          <w:szCs w:val="24"/>
        </w:rPr>
      </w:pPr>
      <w:r w:rsidRPr="00F550DD">
        <w:rPr>
          <w:rFonts w:ascii="Arial" w:hAnsi="Arial" w:cs="Arial"/>
          <w:color w:val="231F20"/>
          <w:sz w:val="24"/>
          <w:szCs w:val="24"/>
        </w:rPr>
        <w:t xml:space="preserve">In </w:t>
      </w:r>
      <w:r w:rsidRPr="00F550DD">
        <w:rPr>
          <w:rFonts w:ascii="Arial" w:hAnsi="Arial" w:cs="Arial"/>
          <w:b/>
          <w:color w:val="231F20"/>
          <w:sz w:val="24"/>
          <w:szCs w:val="24"/>
        </w:rPr>
        <w:t>section 200A</w:t>
      </w:r>
      <w:r w:rsidRPr="00F550DD">
        <w:rPr>
          <w:rFonts w:ascii="Arial" w:hAnsi="Arial" w:cs="Arial"/>
          <w:color w:val="231F20"/>
          <w:sz w:val="24"/>
          <w:szCs w:val="24"/>
        </w:rPr>
        <w:t xml:space="preserve"> of the Income-tax Act, in </w:t>
      </w:r>
      <w:r w:rsidRPr="00F550DD">
        <w:rPr>
          <w:rFonts w:ascii="Arial" w:hAnsi="Arial" w:cs="Arial"/>
          <w:b/>
          <w:color w:val="231F20"/>
          <w:sz w:val="24"/>
          <w:szCs w:val="24"/>
        </w:rPr>
        <w:t>sub-section (</w:t>
      </w:r>
      <w:r w:rsidRPr="00F550DD">
        <w:rPr>
          <w:rFonts w:ascii="Arial" w:hAnsi="Arial" w:cs="Arial"/>
          <w:b/>
          <w:i/>
          <w:iCs/>
          <w:color w:val="231F20"/>
          <w:sz w:val="24"/>
          <w:szCs w:val="24"/>
        </w:rPr>
        <w:t>1</w:t>
      </w:r>
      <w:r w:rsidRPr="00F550DD">
        <w:rPr>
          <w:rFonts w:ascii="Arial" w:hAnsi="Arial" w:cs="Arial"/>
          <w:b/>
          <w:color w:val="231F20"/>
          <w:sz w:val="24"/>
          <w:szCs w:val="24"/>
        </w:rPr>
        <w:t>)</w:t>
      </w:r>
      <w:r w:rsidRPr="00F550DD">
        <w:rPr>
          <w:rFonts w:ascii="Arial" w:hAnsi="Arial" w:cs="Arial"/>
          <w:color w:val="231F20"/>
          <w:sz w:val="24"/>
          <w:szCs w:val="24"/>
        </w:rPr>
        <w:t>, after the words “where a statement of</w:t>
      </w:r>
      <w:r>
        <w:rPr>
          <w:rFonts w:ascii="Arial" w:hAnsi="Arial" w:cs="Arial"/>
          <w:color w:val="231F20"/>
          <w:sz w:val="24"/>
          <w:szCs w:val="24"/>
        </w:rPr>
        <w:t xml:space="preserve"> </w:t>
      </w:r>
      <w:r w:rsidRPr="00F550DD">
        <w:rPr>
          <w:rFonts w:ascii="Arial" w:hAnsi="Arial" w:cs="Arial"/>
          <w:color w:val="231F20"/>
          <w:sz w:val="24"/>
          <w:szCs w:val="24"/>
        </w:rPr>
        <w:t xml:space="preserve">tax deduction at source”, the words </w:t>
      </w:r>
      <w:r w:rsidRPr="00F550DD">
        <w:rPr>
          <w:rFonts w:ascii="Arial" w:hAnsi="Arial" w:cs="Arial"/>
          <w:b/>
          <w:color w:val="231F20"/>
          <w:sz w:val="24"/>
          <w:szCs w:val="24"/>
        </w:rPr>
        <w:t>“or a correction statement”</w:t>
      </w:r>
      <w:r w:rsidRPr="00F550DD">
        <w:rPr>
          <w:rFonts w:ascii="Arial" w:hAnsi="Arial" w:cs="Arial"/>
          <w:color w:val="231F20"/>
          <w:sz w:val="24"/>
          <w:szCs w:val="24"/>
        </w:rPr>
        <w:t xml:space="preserve"> shall be </w:t>
      </w:r>
      <w:r w:rsidRPr="00F550DD">
        <w:rPr>
          <w:rFonts w:ascii="Arial" w:hAnsi="Arial" w:cs="Arial"/>
          <w:b/>
          <w:color w:val="231F20"/>
          <w:sz w:val="24"/>
          <w:szCs w:val="24"/>
        </w:rPr>
        <w:t>inserted</w:t>
      </w:r>
      <w:r w:rsidRPr="00F550DD">
        <w:rPr>
          <w:rFonts w:ascii="Arial" w:hAnsi="Arial" w:cs="Arial"/>
          <w:color w:val="231F20"/>
          <w:sz w:val="24"/>
          <w:szCs w:val="24"/>
        </w:rPr>
        <w:t xml:space="preserve"> with effect from the</w:t>
      </w:r>
      <w:r>
        <w:rPr>
          <w:rFonts w:ascii="Arial" w:hAnsi="Arial" w:cs="Arial"/>
          <w:color w:val="231F20"/>
          <w:sz w:val="24"/>
          <w:szCs w:val="24"/>
        </w:rPr>
        <w:t xml:space="preserve"> </w:t>
      </w:r>
      <w:r w:rsidRPr="00F550DD">
        <w:rPr>
          <w:rFonts w:ascii="Arial" w:hAnsi="Arial" w:cs="Arial"/>
          <w:color w:val="231F20"/>
          <w:sz w:val="24"/>
          <w:szCs w:val="24"/>
        </w:rPr>
        <w:t>1st day of October, 2014.</w:t>
      </w:r>
    </w:p>
    <w:p w:rsidR="0097503D" w:rsidRDefault="0097503D" w:rsidP="0001703B">
      <w:pPr>
        <w:autoSpaceDE w:val="0"/>
        <w:autoSpaceDN w:val="0"/>
        <w:adjustRightInd w:val="0"/>
        <w:spacing w:after="0" w:line="240" w:lineRule="auto"/>
        <w:jc w:val="both"/>
        <w:rPr>
          <w:rFonts w:ascii="Arial" w:hAnsi="Arial" w:cs="Arial"/>
          <w:color w:val="231F20"/>
          <w:sz w:val="24"/>
          <w:szCs w:val="24"/>
        </w:rPr>
      </w:pPr>
    </w:p>
    <w:p w:rsidR="0097503D" w:rsidRPr="0097503D" w:rsidRDefault="0097503D" w:rsidP="0001703B">
      <w:pPr>
        <w:pStyle w:val="ListParagraph"/>
        <w:numPr>
          <w:ilvl w:val="0"/>
          <w:numId w:val="1"/>
        </w:numPr>
        <w:autoSpaceDE w:val="0"/>
        <w:autoSpaceDN w:val="0"/>
        <w:adjustRightInd w:val="0"/>
        <w:spacing w:after="0" w:line="240" w:lineRule="auto"/>
        <w:ind w:left="288"/>
        <w:jc w:val="both"/>
        <w:rPr>
          <w:rFonts w:ascii="Arial" w:hAnsi="Arial" w:cs="Arial"/>
          <w:color w:val="231F20"/>
          <w:sz w:val="24"/>
          <w:szCs w:val="24"/>
        </w:rPr>
      </w:pPr>
      <w:r w:rsidRPr="0097503D">
        <w:rPr>
          <w:rFonts w:ascii="Arial" w:hAnsi="Arial" w:cs="Arial"/>
          <w:color w:val="231F20"/>
          <w:sz w:val="24"/>
          <w:szCs w:val="24"/>
        </w:rPr>
        <w:t xml:space="preserve">In </w:t>
      </w:r>
      <w:r w:rsidRPr="0097503D">
        <w:rPr>
          <w:rFonts w:ascii="Arial" w:hAnsi="Arial" w:cs="Arial"/>
          <w:b/>
          <w:color w:val="231F20"/>
          <w:sz w:val="24"/>
          <w:szCs w:val="24"/>
        </w:rPr>
        <w:t>section 201</w:t>
      </w:r>
      <w:r w:rsidRPr="0097503D">
        <w:rPr>
          <w:rFonts w:ascii="Arial" w:hAnsi="Arial" w:cs="Arial"/>
          <w:color w:val="231F20"/>
          <w:sz w:val="24"/>
          <w:szCs w:val="24"/>
        </w:rPr>
        <w:t xml:space="preserve"> of the Income-tax Act, for </w:t>
      </w:r>
      <w:r w:rsidRPr="0097503D">
        <w:rPr>
          <w:rFonts w:ascii="Arial" w:hAnsi="Arial" w:cs="Arial"/>
          <w:b/>
          <w:color w:val="231F20"/>
          <w:sz w:val="24"/>
          <w:szCs w:val="24"/>
        </w:rPr>
        <w:t>sub-section (</w:t>
      </w:r>
      <w:r w:rsidRPr="0097503D">
        <w:rPr>
          <w:rFonts w:ascii="Arial" w:hAnsi="Arial" w:cs="Arial"/>
          <w:b/>
          <w:i/>
          <w:iCs/>
          <w:color w:val="231F20"/>
          <w:sz w:val="24"/>
          <w:szCs w:val="24"/>
        </w:rPr>
        <w:t>3</w:t>
      </w:r>
      <w:r w:rsidRPr="0097503D">
        <w:rPr>
          <w:rFonts w:ascii="Arial" w:hAnsi="Arial" w:cs="Arial"/>
          <w:b/>
          <w:color w:val="231F20"/>
          <w:sz w:val="24"/>
          <w:szCs w:val="24"/>
        </w:rPr>
        <w:t>)</w:t>
      </w:r>
      <w:r w:rsidRPr="0097503D">
        <w:rPr>
          <w:rFonts w:ascii="Arial" w:hAnsi="Arial" w:cs="Arial"/>
          <w:color w:val="231F20"/>
          <w:sz w:val="24"/>
          <w:szCs w:val="24"/>
        </w:rPr>
        <w:t>, the following sub-section shall be substituted with effect from the 1st day of October, 2014, namely:—</w:t>
      </w:r>
    </w:p>
    <w:p w:rsidR="0097503D" w:rsidRDefault="0097503D" w:rsidP="0001703B">
      <w:pPr>
        <w:autoSpaceDE w:val="0"/>
        <w:autoSpaceDN w:val="0"/>
        <w:adjustRightInd w:val="0"/>
        <w:spacing w:after="0" w:line="240" w:lineRule="auto"/>
        <w:jc w:val="both"/>
        <w:rPr>
          <w:rFonts w:ascii="Arial" w:hAnsi="Arial" w:cs="Arial"/>
          <w:color w:val="231F20"/>
          <w:sz w:val="24"/>
          <w:szCs w:val="24"/>
        </w:rPr>
      </w:pPr>
    </w:p>
    <w:p w:rsidR="0097503D" w:rsidRDefault="0097503D" w:rsidP="0001703B">
      <w:pPr>
        <w:autoSpaceDE w:val="0"/>
        <w:autoSpaceDN w:val="0"/>
        <w:adjustRightInd w:val="0"/>
        <w:spacing w:after="0" w:line="240" w:lineRule="auto"/>
        <w:jc w:val="both"/>
        <w:rPr>
          <w:rFonts w:ascii="Arial" w:hAnsi="Arial" w:cs="Arial"/>
          <w:color w:val="231F20"/>
          <w:sz w:val="24"/>
          <w:szCs w:val="24"/>
        </w:rPr>
      </w:pPr>
      <w:r w:rsidRPr="0097503D">
        <w:rPr>
          <w:rFonts w:ascii="Arial" w:hAnsi="Arial" w:cs="Arial"/>
          <w:color w:val="231F20"/>
          <w:sz w:val="24"/>
          <w:szCs w:val="24"/>
        </w:rPr>
        <w:t>“(</w:t>
      </w:r>
      <w:r w:rsidRPr="0097503D">
        <w:rPr>
          <w:rFonts w:ascii="Arial" w:hAnsi="Arial" w:cs="Arial"/>
          <w:i/>
          <w:iCs/>
          <w:color w:val="231F20"/>
          <w:sz w:val="24"/>
          <w:szCs w:val="24"/>
        </w:rPr>
        <w:t>3</w:t>
      </w:r>
      <w:r w:rsidRPr="0097503D">
        <w:rPr>
          <w:rFonts w:ascii="Arial" w:hAnsi="Arial" w:cs="Arial"/>
          <w:color w:val="231F20"/>
          <w:sz w:val="24"/>
          <w:szCs w:val="24"/>
        </w:rPr>
        <w:t>)</w:t>
      </w:r>
      <w:r w:rsidRPr="0097503D">
        <w:rPr>
          <w:rFonts w:ascii="Arial" w:hAnsi="Arial" w:cs="Arial"/>
          <w:b/>
          <w:color w:val="231F20"/>
          <w:sz w:val="24"/>
          <w:szCs w:val="24"/>
        </w:rPr>
        <w:t xml:space="preserve"> No order shall be made</w:t>
      </w:r>
      <w:r w:rsidRPr="0097503D">
        <w:rPr>
          <w:rFonts w:ascii="Arial" w:hAnsi="Arial" w:cs="Arial"/>
          <w:color w:val="231F20"/>
          <w:sz w:val="24"/>
          <w:szCs w:val="24"/>
        </w:rPr>
        <w:t xml:space="preserve"> under sub-section (</w:t>
      </w:r>
      <w:r w:rsidRPr="0097503D">
        <w:rPr>
          <w:rFonts w:ascii="Arial" w:hAnsi="Arial" w:cs="Arial"/>
          <w:i/>
          <w:iCs/>
          <w:color w:val="231F20"/>
          <w:sz w:val="24"/>
          <w:szCs w:val="24"/>
        </w:rPr>
        <w:t>1</w:t>
      </w:r>
      <w:r w:rsidRPr="0097503D">
        <w:rPr>
          <w:rFonts w:ascii="Arial" w:hAnsi="Arial" w:cs="Arial"/>
          <w:color w:val="231F20"/>
          <w:sz w:val="24"/>
          <w:szCs w:val="24"/>
        </w:rPr>
        <w:t xml:space="preserve">) </w:t>
      </w:r>
      <w:r w:rsidRPr="0097503D">
        <w:rPr>
          <w:rFonts w:ascii="Arial" w:hAnsi="Arial" w:cs="Arial"/>
          <w:b/>
          <w:color w:val="231F20"/>
          <w:sz w:val="24"/>
          <w:szCs w:val="24"/>
        </w:rPr>
        <w:t>deeming a person</w:t>
      </w:r>
      <w:r w:rsidRPr="0097503D">
        <w:rPr>
          <w:rFonts w:ascii="Arial" w:hAnsi="Arial" w:cs="Arial"/>
          <w:color w:val="231F20"/>
          <w:sz w:val="24"/>
          <w:szCs w:val="24"/>
        </w:rPr>
        <w:t xml:space="preserve"> to be an </w:t>
      </w:r>
      <w:proofErr w:type="spellStart"/>
      <w:r w:rsidRPr="0097503D">
        <w:rPr>
          <w:rFonts w:ascii="Arial" w:hAnsi="Arial" w:cs="Arial"/>
          <w:b/>
          <w:color w:val="231F20"/>
          <w:sz w:val="24"/>
          <w:szCs w:val="24"/>
        </w:rPr>
        <w:t>assessee</w:t>
      </w:r>
      <w:proofErr w:type="spellEnd"/>
      <w:r w:rsidRPr="0097503D">
        <w:rPr>
          <w:rFonts w:ascii="Arial" w:hAnsi="Arial" w:cs="Arial"/>
          <w:b/>
          <w:color w:val="231F20"/>
          <w:sz w:val="24"/>
          <w:szCs w:val="24"/>
        </w:rPr>
        <w:t xml:space="preserve"> in default</w:t>
      </w:r>
      <w:r>
        <w:rPr>
          <w:rFonts w:ascii="Arial" w:hAnsi="Arial" w:cs="Arial"/>
          <w:color w:val="231F20"/>
          <w:sz w:val="24"/>
          <w:szCs w:val="24"/>
        </w:rPr>
        <w:t xml:space="preserve"> </w:t>
      </w:r>
      <w:r w:rsidRPr="0097503D">
        <w:rPr>
          <w:rFonts w:ascii="Arial" w:hAnsi="Arial" w:cs="Arial"/>
          <w:color w:val="231F20"/>
          <w:sz w:val="24"/>
          <w:szCs w:val="24"/>
        </w:rPr>
        <w:t xml:space="preserve">for failure to deduct the whole or any part of the tax from a person resident in India, </w:t>
      </w:r>
      <w:r w:rsidRPr="0097503D">
        <w:rPr>
          <w:rFonts w:ascii="Arial" w:hAnsi="Arial" w:cs="Arial"/>
          <w:color w:val="231F20"/>
          <w:sz w:val="24"/>
          <w:szCs w:val="24"/>
          <w:u w:val="single"/>
        </w:rPr>
        <w:t>at any time after the expiry</w:t>
      </w:r>
      <w:r w:rsidRPr="0097503D">
        <w:rPr>
          <w:rFonts w:ascii="Arial" w:hAnsi="Arial" w:cs="Arial"/>
          <w:color w:val="231F20"/>
          <w:sz w:val="24"/>
          <w:szCs w:val="24"/>
        </w:rPr>
        <w:t xml:space="preserve"> of </w:t>
      </w:r>
      <w:r w:rsidRPr="0097503D">
        <w:rPr>
          <w:rFonts w:ascii="Arial" w:hAnsi="Arial" w:cs="Arial"/>
          <w:b/>
          <w:color w:val="231F20"/>
          <w:sz w:val="24"/>
          <w:szCs w:val="24"/>
        </w:rPr>
        <w:t>seven years</w:t>
      </w:r>
      <w:r w:rsidRPr="0097503D">
        <w:rPr>
          <w:rFonts w:ascii="Arial" w:hAnsi="Arial" w:cs="Arial"/>
          <w:color w:val="231F20"/>
          <w:sz w:val="24"/>
          <w:szCs w:val="24"/>
        </w:rPr>
        <w:t xml:space="preserve"> from the </w:t>
      </w:r>
      <w:r w:rsidRPr="0097503D">
        <w:rPr>
          <w:rFonts w:ascii="Arial" w:hAnsi="Arial" w:cs="Arial"/>
          <w:color w:val="231F20"/>
          <w:sz w:val="24"/>
          <w:szCs w:val="24"/>
          <w:u w:val="single"/>
        </w:rPr>
        <w:t>end of the financial year in which payment is made or credit is given.</w:t>
      </w:r>
      <w:r w:rsidRPr="0097503D">
        <w:rPr>
          <w:rFonts w:ascii="Arial" w:hAnsi="Arial" w:cs="Arial"/>
          <w:color w:val="231F20"/>
          <w:sz w:val="24"/>
          <w:szCs w:val="24"/>
        </w:rPr>
        <w:t>”.</w:t>
      </w:r>
    </w:p>
    <w:p w:rsidR="0001703B" w:rsidRDefault="0001703B" w:rsidP="0001703B">
      <w:pPr>
        <w:autoSpaceDE w:val="0"/>
        <w:autoSpaceDN w:val="0"/>
        <w:adjustRightInd w:val="0"/>
        <w:spacing w:after="0" w:line="240" w:lineRule="auto"/>
        <w:jc w:val="both"/>
        <w:rPr>
          <w:rFonts w:ascii="Arial" w:hAnsi="Arial" w:cs="Arial"/>
          <w:color w:val="231F20"/>
          <w:sz w:val="24"/>
          <w:szCs w:val="24"/>
        </w:rPr>
      </w:pPr>
    </w:p>
    <w:p w:rsidR="0001703B" w:rsidRDefault="0001703B" w:rsidP="0001703B">
      <w:pPr>
        <w:pStyle w:val="ListParagraph"/>
        <w:numPr>
          <w:ilvl w:val="0"/>
          <w:numId w:val="1"/>
        </w:numPr>
        <w:autoSpaceDE w:val="0"/>
        <w:autoSpaceDN w:val="0"/>
        <w:adjustRightInd w:val="0"/>
        <w:spacing w:after="0" w:line="240" w:lineRule="auto"/>
        <w:ind w:left="288"/>
        <w:jc w:val="both"/>
        <w:rPr>
          <w:rFonts w:ascii="Arial" w:hAnsi="Arial" w:cs="Arial"/>
          <w:color w:val="231F20"/>
          <w:sz w:val="24"/>
          <w:szCs w:val="24"/>
        </w:rPr>
      </w:pPr>
      <w:r w:rsidRPr="0001703B">
        <w:rPr>
          <w:rFonts w:ascii="Arial" w:hAnsi="Arial" w:cs="Arial"/>
          <w:color w:val="231F20"/>
          <w:sz w:val="24"/>
          <w:szCs w:val="24"/>
        </w:rPr>
        <w:t xml:space="preserve">In </w:t>
      </w:r>
      <w:r w:rsidRPr="0001703B">
        <w:rPr>
          <w:rFonts w:ascii="Arial" w:hAnsi="Arial" w:cs="Arial"/>
          <w:b/>
          <w:color w:val="231F20"/>
          <w:sz w:val="24"/>
          <w:szCs w:val="24"/>
        </w:rPr>
        <w:t>section 206AA</w:t>
      </w:r>
      <w:r w:rsidRPr="0001703B">
        <w:rPr>
          <w:rFonts w:ascii="Arial" w:hAnsi="Arial" w:cs="Arial"/>
          <w:color w:val="231F20"/>
          <w:sz w:val="24"/>
          <w:szCs w:val="24"/>
        </w:rPr>
        <w:t xml:space="preserve"> of the Income-tax Act, in </w:t>
      </w:r>
      <w:r w:rsidRPr="0001703B">
        <w:rPr>
          <w:rFonts w:ascii="Arial" w:hAnsi="Arial" w:cs="Arial"/>
          <w:b/>
          <w:color w:val="231F20"/>
          <w:sz w:val="24"/>
          <w:szCs w:val="24"/>
        </w:rPr>
        <w:t>sub-section (</w:t>
      </w:r>
      <w:r w:rsidRPr="0001703B">
        <w:rPr>
          <w:rFonts w:ascii="Arial" w:hAnsi="Arial" w:cs="Arial"/>
          <w:b/>
          <w:i/>
          <w:iCs/>
          <w:color w:val="231F20"/>
          <w:sz w:val="24"/>
          <w:szCs w:val="24"/>
        </w:rPr>
        <w:t>7</w:t>
      </w:r>
      <w:r w:rsidRPr="0001703B">
        <w:rPr>
          <w:rFonts w:ascii="Arial" w:hAnsi="Arial" w:cs="Arial"/>
          <w:b/>
          <w:color w:val="231F20"/>
          <w:sz w:val="24"/>
          <w:szCs w:val="24"/>
        </w:rPr>
        <w:t>)</w:t>
      </w:r>
      <w:r w:rsidRPr="0001703B">
        <w:rPr>
          <w:rFonts w:ascii="Arial" w:hAnsi="Arial" w:cs="Arial"/>
          <w:color w:val="231F20"/>
          <w:sz w:val="24"/>
          <w:szCs w:val="24"/>
        </w:rPr>
        <w:t xml:space="preserve">, the word </w:t>
      </w:r>
      <w:r w:rsidRPr="0001703B">
        <w:rPr>
          <w:rFonts w:ascii="Arial" w:hAnsi="Arial" w:cs="Arial"/>
          <w:b/>
          <w:color w:val="231F20"/>
          <w:sz w:val="24"/>
          <w:szCs w:val="24"/>
        </w:rPr>
        <w:t>“infrastructure”</w:t>
      </w:r>
      <w:r w:rsidRPr="0001703B">
        <w:rPr>
          <w:rFonts w:ascii="Arial" w:hAnsi="Arial" w:cs="Arial"/>
          <w:color w:val="231F20"/>
          <w:sz w:val="24"/>
          <w:szCs w:val="24"/>
        </w:rPr>
        <w:t xml:space="preserve"> shall be</w:t>
      </w:r>
      <w:r>
        <w:rPr>
          <w:rFonts w:ascii="Arial" w:hAnsi="Arial" w:cs="Arial"/>
          <w:color w:val="231F20"/>
          <w:sz w:val="24"/>
          <w:szCs w:val="24"/>
        </w:rPr>
        <w:t xml:space="preserve"> </w:t>
      </w:r>
      <w:r w:rsidRPr="0001703B">
        <w:rPr>
          <w:rFonts w:ascii="Arial" w:hAnsi="Arial" w:cs="Arial"/>
          <w:b/>
          <w:color w:val="231F20"/>
          <w:sz w:val="24"/>
          <w:szCs w:val="24"/>
        </w:rPr>
        <w:t>omitted</w:t>
      </w:r>
      <w:r w:rsidRPr="0001703B">
        <w:rPr>
          <w:rFonts w:ascii="Arial" w:hAnsi="Arial" w:cs="Arial"/>
          <w:color w:val="231F20"/>
          <w:sz w:val="24"/>
          <w:szCs w:val="24"/>
        </w:rPr>
        <w:t xml:space="preserve"> with effect from the 1st day of October, 2014.</w:t>
      </w:r>
    </w:p>
    <w:p w:rsidR="00033EFF" w:rsidRDefault="00033EFF" w:rsidP="00033EFF">
      <w:pPr>
        <w:pStyle w:val="ListParagraph"/>
        <w:autoSpaceDE w:val="0"/>
        <w:autoSpaceDN w:val="0"/>
        <w:adjustRightInd w:val="0"/>
        <w:spacing w:after="0" w:line="240" w:lineRule="auto"/>
        <w:ind w:left="288"/>
        <w:jc w:val="both"/>
        <w:rPr>
          <w:rFonts w:ascii="Arial" w:hAnsi="Arial" w:cs="Arial"/>
          <w:color w:val="231F20"/>
          <w:sz w:val="24"/>
          <w:szCs w:val="24"/>
        </w:rPr>
      </w:pPr>
    </w:p>
    <w:p w:rsidR="00033EFF" w:rsidRDefault="00033EFF" w:rsidP="00033EFF">
      <w:pPr>
        <w:pStyle w:val="ListParagraph"/>
        <w:autoSpaceDE w:val="0"/>
        <w:autoSpaceDN w:val="0"/>
        <w:adjustRightInd w:val="0"/>
        <w:spacing w:after="0" w:line="240" w:lineRule="auto"/>
        <w:ind w:left="288"/>
        <w:jc w:val="both"/>
        <w:rPr>
          <w:rFonts w:ascii="Arial" w:hAnsi="Arial" w:cs="Arial"/>
          <w:color w:val="231F20"/>
          <w:sz w:val="24"/>
          <w:szCs w:val="24"/>
        </w:rPr>
      </w:pPr>
    </w:p>
    <w:p w:rsidR="00033EFF" w:rsidRDefault="00033EFF" w:rsidP="00033EFF">
      <w:pPr>
        <w:autoSpaceDE w:val="0"/>
        <w:autoSpaceDN w:val="0"/>
        <w:adjustRightInd w:val="0"/>
        <w:spacing w:after="0" w:line="240" w:lineRule="auto"/>
        <w:ind w:left="-72"/>
        <w:jc w:val="both"/>
        <w:rPr>
          <w:rFonts w:ascii="Arial" w:hAnsi="Arial" w:cs="Arial"/>
          <w:color w:val="231F20"/>
          <w:sz w:val="24"/>
          <w:szCs w:val="24"/>
        </w:rPr>
      </w:pPr>
    </w:p>
    <w:p w:rsidR="00033EFF" w:rsidRPr="00033EFF" w:rsidRDefault="00033EFF" w:rsidP="00033EFF">
      <w:pPr>
        <w:pBdr>
          <w:top w:val="single" w:sz="4" w:space="1" w:color="auto"/>
          <w:bottom w:val="single" w:sz="4" w:space="1" w:color="auto"/>
        </w:pBdr>
        <w:autoSpaceDE w:val="0"/>
        <w:autoSpaceDN w:val="0"/>
        <w:adjustRightInd w:val="0"/>
        <w:spacing w:after="0" w:line="240" w:lineRule="auto"/>
        <w:ind w:left="-72"/>
        <w:jc w:val="both"/>
        <w:rPr>
          <w:rFonts w:ascii="Arial" w:hAnsi="Arial" w:cs="Arial"/>
          <w:color w:val="231F20"/>
          <w:sz w:val="24"/>
          <w:szCs w:val="24"/>
        </w:rPr>
      </w:pPr>
      <w:r>
        <w:rPr>
          <w:rStyle w:val="Strong"/>
        </w:rPr>
        <w:t>Tax Deduction at Source</w:t>
      </w:r>
    </w:p>
    <w:p w:rsidR="00627F9D" w:rsidRDefault="00627F9D" w:rsidP="00627F9D">
      <w:pPr>
        <w:autoSpaceDE w:val="0"/>
        <w:autoSpaceDN w:val="0"/>
        <w:adjustRightInd w:val="0"/>
        <w:spacing w:after="0" w:line="240" w:lineRule="auto"/>
        <w:jc w:val="both"/>
        <w:rPr>
          <w:rFonts w:ascii="Arial" w:hAnsi="Arial" w:cs="Arial"/>
          <w:color w:val="231F20"/>
          <w:sz w:val="24"/>
          <w:szCs w:val="24"/>
        </w:rPr>
      </w:pPr>
    </w:p>
    <w:p w:rsidR="00033EFF" w:rsidRPr="00033EFF" w:rsidRDefault="00033EFF" w:rsidP="00033EFF">
      <w:pPr>
        <w:pStyle w:val="NormalWeb"/>
        <w:jc w:val="both"/>
        <w:rPr>
          <w:rFonts w:ascii="Arial" w:hAnsi="Arial" w:cs="Arial"/>
        </w:rPr>
      </w:pPr>
      <w:r w:rsidRPr="00033EFF">
        <w:rPr>
          <w:rFonts w:ascii="Arial" w:hAnsi="Arial" w:cs="Arial"/>
        </w:rPr>
        <w:t>Under Chapter XVII-B of the Act, a person is required to deduct tax on certain specified payments at the specified rates if the payment exceeds specified threshold. The person deducting tax (‘the deductor’) is required to file a quarterly statement of tax deduction at source (TDS) containing the prescribed details of deduction of tax made during the quarter by the prescribed due date.</w:t>
      </w:r>
    </w:p>
    <w:p w:rsidR="00033EFF" w:rsidRPr="00033EFF" w:rsidRDefault="00033EFF" w:rsidP="00033EFF">
      <w:pPr>
        <w:pStyle w:val="NormalWeb"/>
        <w:jc w:val="both"/>
        <w:rPr>
          <w:rFonts w:ascii="Arial" w:hAnsi="Arial" w:cs="Arial"/>
        </w:rPr>
      </w:pPr>
      <w:r w:rsidRPr="00033EFF">
        <w:rPr>
          <w:rFonts w:ascii="Arial" w:hAnsi="Arial" w:cs="Arial"/>
        </w:rPr>
        <w:t>     Currently, a deductor is allowed to file correction statement for rectification/</w:t>
      </w:r>
      <w:proofErr w:type="spellStart"/>
      <w:r w:rsidRPr="00033EFF">
        <w:rPr>
          <w:rFonts w:ascii="Arial" w:hAnsi="Arial" w:cs="Arial"/>
        </w:rPr>
        <w:t>updation</w:t>
      </w:r>
      <w:proofErr w:type="spellEnd"/>
      <w:r w:rsidRPr="00033EFF">
        <w:rPr>
          <w:rFonts w:ascii="Arial" w:hAnsi="Arial" w:cs="Arial"/>
        </w:rPr>
        <w:t xml:space="preserve"> of the information furnished in the original TDS statement as per the </w:t>
      </w:r>
      <w:proofErr w:type="spellStart"/>
      <w:r w:rsidRPr="00033EFF">
        <w:rPr>
          <w:rFonts w:ascii="Arial" w:hAnsi="Arial" w:cs="Arial"/>
        </w:rPr>
        <w:t>Centralised</w:t>
      </w:r>
      <w:proofErr w:type="spellEnd"/>
      <w:r w:rsidRPr="00033EFF">
        <w:rPr>
          <w:rFonts w:ascii="Arial" w:hAnsi="Arial" w:cs="Arial"/>
        </w:rPr>
        <w:t xml:space="preserve"> Processing of Statements of Tax Deducted at Source Scheme, 2013 notified vide Notification No.03/2013 dated 15th January, 2013. However, there does not </w:t>
      </w:r>
      <w:proofErr w:type="gramStart"/>
      <w:r w:rsidRPr="00033EFF">
        <w:rPr>
          <w:rFonts w:ascii="Arial" w:hAnsi="Arial" w:cs="Arial"/>
        </w:rPr>
        <w:t>exist</w:t>
      </w:r>
      <w:proofErr w:type="gramEnd"/>
      <w:r w:rsidRPr="00033EFF">
        <w:rPr>
          <w:rFonts w:ascii="Arial" w:hAnsi="Arial" w:cs="Arial"/>
        </w:rPr>
        <w:t xml:space="preserve"> any express provision in the Act for enabling a deductor to file correction statement.</w:t>
      </w:r>
    </w:p>
    <w:p w:rsidR="00033EFF" w:rsidRPr="00033EFF" w:rsidRDefault="00033EFF" w:rsidP="00033EFF">
      <w:pPr>
        <w:pStyle w:val="NormalWeb"/>
        <w:jc w:val="both"/>
        <w:rPr>
          <w:rFonts w:ascii="Arial" w:hAnsi="Arial" w:cs="Arial"/>
        </w:rPr>
      </w:pPr>
      <w:r w:rsidRPr="00033EFF">
        <w:rPr>
          <w:rFonts w:ascii="Arial" w:hAnsi="Arial" w:cs="Arial"/>
        </w:rPr>
        <w:t>     In order to bring clarity in the matter relating to filing of correction statement, it is proposed to amend section 200 of the Act to allow the deductor to file correction statements. Consequently, it is also proposed to amend provisions of section 200A of the Act for enabling processing of correction statement filed.</w:t>
      </w:r>
    </w:p>
    <w:p w:rsidR="00033EFF" w:rsidRPr="00033EFF" w:rsidRDefault="00033EFF" w:rsidP="00033EFF">
      <w:pPr>
        <w:pStyle w:val="NormalWeb"/>
        <w:jc w:val="both"/>
        <w:rPr>
          <w:rFonts w:ascii="Arial" w:hAnsi="Arial" w:cs="Arial"/>
        </w:rPr>
      </w:pPr>
      <w:r w:rsidRPr="00033EFF">
        <w:rPr>
          <w:rFonts w:ascii="Arial" w:hAnsi="Arial" w:cs="Arial"/>
        </w:rPr>
        <w:lastRenderedPageBreak/>
        <w:t xml:space="preserve">     The existing provisions of section 201(1) of the Act provide for passing of an order deeming a payer as </w:t>
      </w:r>
      <w:proofErr w:type="spellStart"/>
      <w:r w:rsidRPr="00033EFF">
        <w:rPr>
          <w:rFonts w:ascii="Arial" w:hAnsi="Arial" w:cs="Arial"/>
        </w:rPr>
        <w:t>assessee</w:t>
      </w:r>
      <w:proofErr w:type="spellEnd"/>
      <w:r w:rsidRPr="00033EFF">
        <w:rPr>
          <w:rFonts w:ascii="Arial" w:hAnsi="Arial" w:cs="Arial"/>
        </w:rPr>
        <w:t xml:space="preserve"> in default if he does not deduct or does not pay or after deduction fails to pay the whole or part of the tax as per the provisions of Chapter XVII-B of the Act. Section 201(3) of the Act provides for time limit for passing of order under section 201(1) of the Act for deeming a payer as </w:t>
      </w:r>
      <w:proofErr w:type="spellStart"/>
      <w:r w:rsidRPr="00033EFF">
        <w:rPr>
          <w:rFonts w:ascii="Arial" w:hAnsi="Arial" w:cs="Arial"/>
        </w:rPr>
        <w:t>assessee</w:t>
      </w:r>
      <w:proofErr w:type="spellEnd"/>
      <w:r w:rsidRPr="00033EFF">
        <w:rPr>
          <w:rFonts w:ascii="Arial" w:hAnsi="Arial" w:cs="Arial"/>
        </w:rPr>
        <w:t xml:space="preserve"> in default for failure to deduct tax from payments made to a resident. Clause (</w:t>
      </w:r>
      <w:proofErr w:type="spellStart"/>
      <w:r w:rsidRPr="00033EFF">
        <w:rPr>
          <w:rFonts w:ascii="Arial" w:hAnsi="Arial" w:cs="Arial"/>
        </w:rPr>
        <w:t>i</w:t>
      </w:r>
      <w:proofErr w:type="spellEnd"/>
      <w:r w:rsidRPr="00033EFF">
        <w:rPr>
          <w:rFonts w:ascii="Arial" w:hAnsi="Arial" w:cs="Arial"/>
        </w:rPr>
        <w:t xml:space="preserve">) of section 201(3) of the Act provides that no order under section 201(1) of the Act shall be passed after expiry of two years from the end of the financial year in which the TDS statement has been filed. Currently, the processing of TDS statement is done in the computerized environment and mainly focuses on the transactions reported in the TDS statement filed by the deductor. Therefore, there is no rationale for not treating the deductor as </w:t>
      </w:r>
      <w:proofErr w:type="spellStart"/>
      <w:r w:rsidRPr="00033EFF">
        <w:rPr>
          <w:rFonts w:ascii="Arial" w:hAnsi="Arial" w:cs="Arial"/>
        </w:rPr>
        <w:t>assessee</w:t>
      </w:r>
      <w:proofErr w:type="spellEnd"/>
      <w:r w:rsidRPr="00033EFF">
        <w:rPr>
          <w:rFonts w:ascii="Arial" w:hAnsi="Arial" w:cs="Arial"/>
        </w:rPr>
        <w:t xml:space="preserve"> in default in respect of the TDS default after two years only on the basis that the deductor has filed TDS statement as TDS defaults are generally in respect of the transaction not reported in the TDS statement. It is, therefore, proposed to omit clause (</w:t>
      </w:r>
      <w:proofErr w:type="spellStart"/>
      <w:r w:rsidRPr="00033EFF">
        <w:rPr>
          <w:rFonts w:ascii="Arial" w:hAnsi="Arial" w:cs="Arial"/>
        </w:rPr>
        <w:t>i</w:t>
      </w:r>
      <w:proofErr w:type="spellEnd"/>
      <w:r w:rsidRPr="00033EFF">
        <w:rPr>
          <w:rFonts w:ascii="Arial" w:hAnsi="Arial" w:cs="Arial"/>
        </w:rPr>
        <w:t>) of sub-section (3) of section 201of the Act which provides time limit of two years for passing order under section 201(1) of the Act for cases in which TDS statement have been filed.</w:t>
      </w:r>
    </w:p>
    <w:p w:rsidR="00033EFF" w:rsidRPr="00033EFF" w:rsidRDefault="00033EFF" w:rsidP="00033EFF">
      <w:pPr>
        <w:pStyle w:val="NormalWeb"/>
        <w:jc w:val="both"/>
        <w:rPr>
          <w:rFonts w:ascii="Arial" w:hAnsi="Arial" w:cs="Arial"/>
        </w:rPr>
      </w:pPr>
      <w:r w:rsidRPr="00033EFF">
        <w:rPr>
          <w:rFonts w:ascii="Arial" w:hAnsi="Arial" w:cs="Arial"/>
        </w:rPr>
        <w:t>     Currently, clause (ii) of section 201(3) of the Act provides a time limit of six years from the end of the financial year in which payment/credit is made for passing of order under section 201(1) of the Act for cases in which TDS statement has not been filed. However, notice under section 148 of the Act may be issued for reassessment up to 6 years from the end of the assessment year for which the income has escaped assessment. Therefore, section 148 of the Act allows reopening of cases of one more preceding previous year than specified under section 201(3)(ii) of the Act. Due to this, order under section 201(1) of the Act cannot be passed in respect of defaults relating to TDS which comes to the notice during search/reassessment proceeding in respect of previous year which is not covered under section 201(3</w:t>
      </w:r>
      <w:proofErr w:type="gramStart"/>
      <w:r w:rsidRPr="00033EFF">
        <w:rPr>
          <w:rFonts w:ascii="Arial" w:hAnsi="Arial" w:cs="Arial"/>
        </w:rPr>
        <w:t>)(</w:t>
      </w:r>
      <w:proofErr w:type="gramEnd"/>
      <w:r w:rsidRPr="00033EFF">
        <w:rPr>
          <w:rFonts w:ascii="Arial" w:hAnsi="Arial" w:cs="Arial"/>
        </w:rPr>
        <w:t>ii) of the Act but covered under section 148 of the Act. In order to align the time limit provided under section 201(3)(ii) and section 148 of the Act, it is proposed that time limit provided under section 201(3)(ii) of the Act for passing order under section 201(1) of the Act shall be extended by one more year.</w:t>
      </w:r>
    </w:p>
    <w:p w:rsidR="00033EFF" w:rsidRPr="00033EFF" w:rsidRDefault="00033EFF" w:rsidP="00033EFF">
      <w:pPr>
        <w:pStyle w:val="NormalWeb"/>
        <w:jc w:val="both"/>
        <w:rPr>
          <w:rFonts w:ascii="Arial" w:hAnsi="Arial" w:cs="Arial"/>
        </w:rPr>
      </w:pPr>
      <w:r w:rsidRPr="00033EFF">
        <w:rPr>
          <w:rFonts w:ascii="Arial" w:hAnsi="Arial" w:cs="Arial"/>
        </w:rPr>
        <w:t>     The existing provisions of section 271H of the Act provides for levy of penalty for failure to furnish TDS/TCS statements in certain cases or furnishing of incorrect information in TDS/TCS statements. The existing provisions of section 271H of the Act do not specify the authority which would be competent to levy the penalty under the said section. Therefore, provisions of section 271H are proposed to be amended to provide that the penalty under section 271H of the Act shall be levied by the Assessing officer.</w:t>
      </w:r>
    </w:p>
    <w:p w:rsidR="00033EFF" w:rsidRDefault="00033EFF" w:rsidP="00033EFF">
      <w:pPr>
        <w:pStyle w:val="NormalWeb"/>
        <w:jc w:val="both"/>
        <w:rPr>
          <w:rFonts w:ascii="Arial" w:hAnsi="Arial" w:cs="Arial"/>
        </w:rPr>
      </w:pPr>
      <w:r w:rsidRPr="00033EFF">
        <w:rPr>
          <w:rFonts w:ascii="Arial" w:hAnsi="Arial" w:cs="Arial"/>
        </w:rPr>
        <w:t>     These amendments will take effect from 1</w:t>
      </w:r>
      <w:r w:rsidRPr="00033EFF">
        <w:rPr>
          <w:rFonts w:ascii="Arial" w:hAnsi="Arial" w:cs="Arial"/>
          <w:vertAlign w:val="superscript"/>
        </w:rPr>
        <w:t>st</w:t>
      </w:r>
      <w:r w:rsidRPr="00033EFF">
        <w:rPr>
          <w:rFonts w:ascii="Arial" w:hAnsi="Arial" w:cs="Arial"/>
        </w:rPr>
        <w:t xml:space="preserve"> October, 2014.</w:t>
      </w:r>
    </w:p>
    <w:p w:rsidR="00033EFF" w:rsidRPr="00033EFF" w:rsidRDefault="00033EFF" w:rsidP="00033EFF">
      <w:pPr>
        <w:pStyle w:val="NormalWeb"/>
        <w:pBdr>
          <w:bottom w:val="single" w:sz="4" w:space="1" w:color="auto"/>
        </w:pBdr>
        <w:jc w:val="both"/>
        <w:rPr>
          <w:rFonts w:ascii="Arial" w:hAnsi="Arial" w:cs="Arial"/>
        </w:rPr>
      </w:pPr>
    </w:p>
    <w:p w:rsidR="00C90457" w:rsidRDefault="00C90457" w:rsidP="00C90457">
      <w:pPr>
        <w:pStyle w:val="arttx"/>
        <w:rPr>
          <w:b/>
          <w:bCs/>
        </w:rPr>
      </w:pPr>
    </w:p>
    <w:p w:rsidR="00C90457" w:rsidRDefault="00C90457" w:rsidP="00C90457">
      <w:pPr>
        <w:pStyle w:val="arttx"/>
        <w:rPr>
          <w:b/>
          <w:bCs/>
        </w:rPr>
      </w:pPr>
    </w:p>
    <w:p w:rsidR="00C90457" w:rsidRPr="00C90457" w:rsidRDefault="00C90457" w:rsidP="00C90457">
      <w:pPr>
        <w:pStyle w:val="arttx"/>
        <w:jc w:val="both"/>
        <w:rPr>
          <w:rFonts w:ascii="Arial" w:hAnsi="Arial" w:cs="Arial"/>
        </w:rPr>
      </w:pPr>
      <w:r w:rsidRPr="00C90457">
        <w:rPr>
          <w:rFonts w:ascii="Arial" w:hAnsi="Arial" w:cs="Arial"/>
          <w:b/>
          <w:bCs/>
        </w:rPr>
        <w:lastRenderedPageBreak/>
        <w:t>a) Existing provisions of section 206AA.</w:t>
      </w:r>
    </w:p>
    <w:p w:rsidR="00C90457" w:rsidRPr="00C90457" w:rsidRDefault="00C90457" w:rsidP="00C90457">
      <w:pPr>
        <w:pStyle w:val="arttx"/>
        <w:jc w:val="both"/>
        <w:rPr>
          <w:rFonts w:ascii="Arial" w:hAnsi="Arial" w:cs="Arial"/>
        </w:rPr>
      </w:pPr>
      <w:r w:rsidRPr="00C90457">
        <w:rPr>
          <w:rFonts w:ascii="Arial" w:hAnsi="Arial" w:cs="Arial"/>
        </w:rPr>
        <w:t>Where the payee does not furnish the PAN, section 206AA obliges the deduction of tax at source at the higher of the -(</w:t>
      </w:r>
      <w:proofErr w:type="spellStart"/>
      <w:r w:rsidRPr="00C90457">
        <w:rPr>
          <w:rFonts w:ascii="Arial" w:hAnsi="Arial" w:cs="Arial"/>
        </w:rPr>
        <w:t>i</w:t>
      </w:r>
      <w:proofErr w:type="spellEnd"/>
      <w:r w:rsidRPr="00C90457">
        <w:rPr>
          <w:rFonts w:ascii="Arial" w:hAnsi="Arial" w:cs="Arial"/>
        </w:rPr>
        <w:t xml:space="preserve">) at the rate specified in the relevant provision of this Act; or(ii) at the rate or rates in force; or(iii) at the rate of twenty per </w:t>
      </w:r>
      <w:proofErr w:type="spellStart"/>
      <w:r w:rsidRPr="00C90457">
        <w:rPr>
          <w:rFonts w:ascii="Arial" w:hAnsi="Arial" w:cs="Arial"/>
        </w:rPr>
        <w:t>cent.This</w:t>
      </w:r>
      <w:proofErr w:type="spellEnd"/>
      <w:r w:rsidRPr="00C90457">
        <w:rPr>
          <w:rFonts w:ascii="Arial" w:hAnsi="Arial" w:cs="Arial"/>
        </w:rPr>
        <w:t xml:space="preserve"> provision was not to applicable in respect of payment of interest, on long-term infrastructure bonds, as referred to in section 194LC, to a non-resident, not being a company, or to a foreign company.</w:t>
      </w:r>
    </w:p>
    <w:p w:rsidR="00C90457" w:rsidRPr="00C90457" w:rsidRDefault="00C90457" w:rsidP="00C90457">
      <w:pPr>
        <w:pStyle w:val="arttx"/>
        <w:jc w:val="both"/>
        <w:rPr>
          <w:rFonts w:ascii="Arial" w:hAnsi="Arial" w:cs="Arial"/>
        </w:rPr>
      </w:pPr>
      <w:r w:rsidRPr="00C90457">
        <w:rPr>
          <w:rFonts w:ascii="Arial" w:hAnsi="Arial" w:cs="Arial"/>
          <w:b/>
          <w:bCs/>
        </w:rPr>
        <w:t>b) Amendment proposed by Finance Bill (No. 2) 2014</w:t>
      </w:r>
    </w:p>
    <w:p w:rsidR="00C90457" w:rsidRPr="00C90457" w:rsidRDefault="00C90457" w:rsidP="00C90457">
      <w:pPr>
        <w:pStyle w:val="arttx"/>
        <w:jc w:val="both"/>
        <w:rPr>
          <w:rFonts w:ascii="Arial" w:hAnsi="Arial" w:cs="Arial"/>
        </w:rPr>
      </w:pPr>
      <w:r w:rsidRPr="00C90457">
        <w:rPr>
          <w:rFonts w:ascii="Arial" w:hAnsi="Arial" w:cs="Arial"/>
        </w:rPr>
        <w:t xml:space="preserve">In order to enable the companies to step up their </w:t>
      </w:r>
      <w:r w:rsidRPr="00C90457">
        <w:rPr>
          <w:rStyle w:val="r20i5x3fu"/>
          <w:rFonts w:ascii="Arial" w:hAnsi="Arial" w:cs="Arial"/>
        </w:rPr>
        <w:t>investments in India</w:t>
      </w:r>
      <w:r w:rsidRPr="00C90457">
        <w:rPr>
          <w:rFonts w:ascii="Arial" w:hAnsi="Arial" w:cs="Arial"/>
        </w:rPr>
        <w:t xml:space="preserve"> and augment their low cost long term foreign borrowings for Indian companies, the Finance Minister in budget speech proposed to extend the eligible date of borrowing in foreign currency from 30.06.2016 to 30.06.2017 for a concessional tax rate of 5 percent on interest payments and also to extend this tax incentive to all </w:t>
      </w:r>
      <w:r w:rsidRPr="00C90457">
        <w:rPr>
          <w:rStyle w:val="r20i5x3fu"/>
          <w:rFonts w:ascii="Arial" w:hAnsi="Arial" w:cs="Arial"/>
        </w:rPr>
        <w:t>types of bonds</w:t>
      </w:r>
      <w:r w:rsidRPr="00C90457">
        <w:rPr>
          <w:rFonts w:ascii="Arial" w:hAnsi="Arial" w:cs="Arial"/>
        </w:rPr>
        <w:t xml:space="preserve"> instead of only infrastructure bonds.</w:t>
      </w:r>
    </w:p>
    <w:p w:rsidR="00C90457" w:rsidRPr="00C90457" w:rsidRDefault="00C90457" w:rsidP="00C90457">
      <w:pPr>
        <w:pStyle w:val="arttx"/>
        <w:jc w:val="both"/>
        <w:rPr>
          <w:rFonts w:ascii="Arial" w:hAnsi="Arial" w:cs="Arial"/>
        </w:rPr>
      </w:pPr>
      <w:r w:rsidRPr="00C90457">
        <w:rPr>
          <w:rFonts w:ascii="Arial" w:hAnsi="Arial" w:cs="Arial"/>
        </w:rPr>
        <w:t xml:space="preserve">With effect from the 1st day of October, 2014, section 194LC of the Income-tax Act, is extended to borrowings by "a business trust" under a loan agreement by way of issue of any long-term bond including long-term infrastructure bond in foreign </w:t>
      </w:r>
      <w:r w:rsidRPr="00C90457">
        <w:rPr>
          <w:rStyle w:val="r20i5x3fu"/>
          <w:rFonts w:ascii="Arial" w:hAnsi="Arial" w:cs="Arial"/>
        </w:rPr>
        <w:t>currency</w:t>
      </w:r>
      <w:r w:rsidRPr="00C90457">
        <w:rPr>
          <w:rFonts w:ascii="Arial" w:hAnsi="Arial" w:cs="Arial"/>
        </w:rPr>
        <w:t xml:space="preserve"> from a source outside India also to be taxable by withholding tax at 5% on interest paid respect of monies borrowed by it. In order to grant concessional rate of tax to all such borrowings, the restrictive word "infrastructure" is omitted from Section </w:t>
      </w:r>
      <w:proofErr w:type="gramStart"/>
      <w:r w:rsidRPr="00C90457">
        <w:rPr>
          <w:rFonts w:ascii="Arial" w:hAnsi="Arial" w:cs="Arial"/>
        </w:rPr>
        <w:t>206AA(</w:t>
      </w:r>
      <w:proofErr w:type="gramEnd"/>
      <w:r w:rsidRPr="00C90457">
        <w:rPr>
          <w:rFonts w:ascii="Arial" w:hAnsi="Arial" w:cs="Arial"/>
        </w:rPr>
        <w:t>7)with effect from the 1st day of October, 2014.</w:t>
      </w:r>
    </w:p>
    <w:p w:rsidR="00627F9D" w:rsidRPr="00627F9D" w:rsidRDefault="00627F9D" w:rsidP="00033EFF">
      <w:pPr>
        <w:autoSpaceDE w:val="0"/>
        <w:autoSpaceDN w:val="0"/>
        <w:adjustRightInd w:val="0"/>
        <w:spacing w:after="0" w:line="240" w:lineRule="auto"/>
        <w:jc w:val="both"/>
        <w:rPr>
          <w:rFonts w:ascii="Arial" w:hAnsi="Arial" w:cs="Arial"/>
          <w:color w:val="231F20"/>
          <w:sz w:val="24"/>
          <w:szCs w:val="24"/>
        </w:rPr>
      </w:pPr>
    </w:p>
    <w:sectPr w:rsidR="00627F9D" w:rsidRPr="00627F9D"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3126A7"/>
    <w:multiLevelType w:val="hybridMultilevel"/>
    <w:tmpl w:val="90A6B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F550DD"/>
    <w:rsid w:val="0001703B"/>
    <w:rsid w:val="00033EFF"/>
    <w:rsid w:val="00200299"/>
    <w:rsid w:val="005015BD"/>
    <w:rsid w:val="00627F9D"/>
    <w:rsid w:val="00771B4C"/>
    <w:rsid w:val="007C424C"/>
    <w:rsid w:val="0097503D"/>
    <w:rsid w:val="00C90457"/>
    <w:rsid w:val="00F550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0DD"/>
    <w:pPr>
      <w:ind w:left="720"/>
      <w:contextualSpacing/>
    </w:pPr>
  </w:style>
  <w:style w:type="character" w:styleId="Strong">
    <w:name w:val="Strong"/>
    <w:basedOn w:val="DefaultParagraphFont"/>
    <w:uiPriority w:val="22"/>
    <w:qFormat/>
    <w:rsid w:val="00033EFF"/>
    <w:rPr>
      <w:b/>
      <w:bCs/>
    </w:rPr>
  </w:style>
  <w:style w:type="paragraph" w:styleId="NormalWeb">
    <w:name w:val="Normal (Web)"/>
    <w:basedOn w:val="Normal"/>
    <w:uiPriority w:val="99"/>
    <w:semiHidden/>
    <w:unhideWhenUsed/>
    <w:rsid w:val="00033E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tx">
    <w:name w:val="arttx"/>
    <w:basedOn w:val="Normal"/>
    <w:rsid w:val="00C904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20i5x3fu">
    <w:name w:val="r20i5x3fu"/>
    <w:basedOn w:val="DefaultParagraphFont"/>
    <w:rsid w:val="00C90457"/>
  </w:style>
  <w:style w:type="character" w:styleId="Hyperlink">
    <w:name w:val="Hyperlink"/>
    <w:basedOn w:val="DefaultParagraphFont"/>
    <w:uiPriority w:val="99"/>
    <w:semiHidden/>
    <w:unhideWhenUsed/>
    <w:rsid w:val="00C90457"/>
    <w:rPr>
      <w:color w:val="0000FF"/>
      <w:u w:val="single"/>
    </w:rPr>
  </w:style>
  <w:style w:type="paragraph" w:styleId="BalloonText">
    <w:name w:val="Balloon Text"/>
    <w:basedOn w:val="Normal"/>
    <w:link w:val="BalloonTextChar"/>
    <w:uiPriority w:val="99"/>
    <w:semiHidden/>
    <w:unhideWhenUsed/>
    <w:rsid w:val="00C904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4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8941628">
      <w:bodyDiv w:val="1"/>
      <w:marLeft w:val="0"/>
      <w:marRight w:val="0"/>
      <w:marTop w:val="0"/>
      <w:marBottom w:val="0"/>
      <w:divBdr>
        <w:top w:val="none" w:sz="0" w:space="0" w:color="auto"/>
        <w:left w:val="none" w:sz="0" w:space="0" w:color="auto"/>
        <w:bottom w:val="none" w:sz="0" w:space="0" w:color="auto"/>
        <w:right w:val="none" w:sz="0" w:space="0" w:color="auto"/>
      </w:divBdr>
    </w:div>
    <w:div w:id="114342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HP</cp:lastModifiedBy>
  <cp:revision>6</cp:revision>
  <dcterms:created xsi:type="dcterms:W3CDTF">2014-07-16T09:21:00Z</dcterms:created>
  <dcterms:modified xsi:type="dcterms:W3CDTF">2014-07-17T08:21:00Z</dcterms:modified>
</cp:coreProperties>
</file>